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F7568B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974A38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02664E">
              <w:rPr>
                <w:b w:val="0"/>
                <w:sz w:val="22"/>
              </w:rPr>
              <w:t>2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C460D1">
              <w:rPr>
                <w:b w:val="0"/>
                <w:sz w:val="22"/>
              </w:rPr>
              <w:t>Крячковой Елены Владимировны</w:t>
            </w:r>
            <w:r w:rsidR="00770101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F514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F514E" w:rsidRDefault="00394181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40810810556009001072 </w:t>
            </w:r>
            <w:r w:rsidR="000F514E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0F514E">
        <w:tc>
          <w:tcPr>
            <w:tcW w:w="10263" w:type="dxa"/>
            <w:gridSpan w:val="6"/>
          </w:tcPr>
          <w:p w:rsidR="000F514E" w:rsidRDefault="000F514E">
            <w:pPr>
              <w:jc w:val="center"/>
              <w:rPr>
                <w:sz w:val="16"/>
              </w:rPr>
            </w:pPr>
          </w:p>
        </w:tc>
      </w:tr>
      <w:tr w:rsidR="000F514E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F514E" w:rsidRDefault="000F51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F756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460D1"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F7568B" w:rsidP="0024033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033B"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F756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033B">
              <w:rPr>
                <w:b/>
              </w:rPr>
              <w:t>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F756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C460D1"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F7568B" w:rsidP="00F7568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F7568B" w:rsidP="00B546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F7568B">
            <w:r>
              <w:t>15.09.2023г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C460D1" w:rsidP="008766BF">
            <w:pPr>
              <w:jc w:val="right"/>
            </w:pPr>
            <w:r>
              <w:rPr>
                <w:b/>
                <w:sz w:val="20"/>
              </w:rPr>
              <w:t xml:space="preserve">Е.В. Крячкова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03" w:rsidRDefault="009E0A03">
      <w:r>
        <w:separator/>
      </w:r>
    </w:p>
  </w:endnote>
  <w:endnote w:type="continuationSeparator" w:id="1">
    <w:p w:rsidR="009E0A03" w:rsidRDefault="009E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03" w:rsidRDefault="009E0A03">
      <w:r>
        <w:separator/>
      </w:r>
    </w:p>
  </w:footnote>
  <w:footnote w:type="continuationSeparator" w:id="1">
    <w:p w:rsidR="009E0A03" w:rsidRDefault="009E0A03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1AB1"/>
    <w:rsid w:val="0002664E"/>
    <w:rsid w:val="00040823"/>
    <w:rsid w:val="00051749"/>
    <w:rsid w:val="00055166"/>
    <w:rsid w:val="000632FF"/>
    <w:rsid w:val="00072213"/>
    <w:rsid w:val="0007793F"/>
    <w:rsid w:val="000A6BD5"/>
    <w:rsid w:val="000A6E09"/>
    <w:rsid w:val="000B3DBB"/>
    <w:rsid w:val="000B5DF3"/>
    <w:rsid w:val="000C3655"/>
    <w:rsid w:val="000F514E"/>
    <w:rsid w:val="00104B37"/>
    <w:rsid w:val="001252AD"/>
    <w:rsid w:val="001E7AD4"/>
    <w:rsid w:val="00221F57"/>
    <w:rsid w:val="00224B4F"/>
    <w:rsid w:val="0024033B"/>
    <w:rsid w:val="00261952"/>
    <w:rsid w:val="00331AD6"/>
    <w:rsid w:val="00392ECC"/>
    <w:rsid w:val="00394181"/>
    <w:rsid w:val="00397709"/>
    <w:rsid w:val="003B601C"/>
    <w:rsid w:val="00402FEC"/>
    <w:rsid w:val="004367CA"/>
    <w:rsid w:val="004509B9"/>
    <w:rsid w:val="00460996"/>
    <w:rsid w:val="00471602"/>
    <w:rsid w:val="004972F9"/>
    <w:rsid w:val="004B5DB3"/>
    <w:rsid w:val="004C4F37"/>
    <w:rsid w:val="00501996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B5F26"/>
    <w:rsid w:val="005E2D36"/>
    <w:rsid w:val="00614E10"/>
    <w:rsid w:val="006349D6"/>
    <w:rsid w:val="006629D0"/>
    <w:rsid w:val="00685AFC"/>
    <w:rsid w:val="006C23E2"/>
    <w:rsid w:val="006F6026"/>
    <w:rsid w:val="007074CC"/>
    <w:rsid w:val="00707E16"/>
    <w:rsid w:val="00770101"/>
    <w:rsid w:val="007A6A15"/>
    <w:rsid w:val="007C134E"/>
    <w:rsid w:val="007F659F"/>
    <w:rsid w:val="008539B8"/>
    <w:rsid w:val="00857CF1"/>
    <w:rsid w:val="00862127"/>
    <w:rsid w:val="008766BF"/>
    <w:rsid w:val="008A4EFD"/>
    <w:rsid w:val="008E7897"/>
    <w:rsid w:val="008F55B7"/>
    <w:rsid w:val="008F696C"/>
    <w:rsid w:val="009122F9"/>
    <w:rsid w:val="00923F2B"/>
    <w:rsid w:val="00926E86"/>
    <w:rsid w:val="009514C9"/>
    <w:rsid w:val="00970D9D"/>
    <w:rsid w:val="00973AFA"/>
    <w:rsid w:val="00974A38"/>
    <w:rsid w:val="009E01D7"/>
    <w:rsid w:val="009E0A03"/>
    <w:rsid w:val="00A023AA"/>
    <w:rsid w:val="00A206DE"/>
    <w:rsid w:val="00A37DB9"/>
    <w:rsid w:val="00AB3113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460D1"/>
    <w:rsid w:val="00C50281"/>
    <w:rsid w:val="00C53B0C"/>
    <w:rsid w:val="00C56AE1"/>
    <w:rsid w:val="00C75D4A"/>
    <w:rsid w:val="00CA108C"/>
    <w:rsid w:val="00CA2E37"/>
    <w:rsid w:val="00CA2E7D"/>
    <w:rsid w:val="00CA39F1"/>
    <w:rsid w:val="00CB368F"/>
    <w:rsid w:val="00D26862"/>
    <w:rsid w:val="00D71B86"/>
    <w:rsid w:val="00E42FD3"/>
    <w:rsid w:val="00E66451"/>
    <w:rsid w:val="00EF0493"/>
    <w:rsid w:val="00F06E83"/>
    <w:rsid w:val="00F54F6D"/>
    <w:rsid w:val="00F7568B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0F51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AB22-D81F-48D9-84A1-6F71904A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2023-09-22T11:59:00Z</dcterms:created>
  <dcterms:modified xsi:type="dcterms:W3CDTF">2023-09-25T04:39:00Z</dcterms:modified>
</cp:coreProperties>
</file>